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449" w:rsidRDefault="00374649" w:rsidP="00374649">
      <w:pPr>
        <w:jc w:val="center"/>
      </w:pPr>
      <w:r>
        <w:t>Estoppel Website Notification</w:t>
      </w:r>
    </w:p>
    <w:p w:rsidR="00374649" w:rsidRDefault="00374649"/>
    <w:p w:rsidR="00374649" w:rsidRDefault="00B33F8F">
      <w:pPr>
        <w:rPr>
          <w:rFonts w:ascii="Trebuchet MS" w:eastAsia="Times New Roman" w:hAnsi="Trebuchet MS" w:cs="Times New Roman"/>
          <w:color w:val="000000"/>
          <w:sz w:val="20"/>
          <w:szCs w:val="20"/>
        </w:rPr>
      </w:pPr>
      <w:r>
        <w:t xml:space="preserve">     </w:t>
      </w:r>
      <w:r w:rsidR="00374649">
        <w:t>Florida Statue 718 stipulates that “</w:t>
      </w:r>
      <w:r w:rsidR="00374649" w:rsidRPr="00ED0AB7">
        <w:rPr>
          <w:rFonts w:ascii="Trebuchet MS" w:eastAsia="Times New Roman" w:hAnsi="Trebuchet MS" w:cs="Times New Roman"/>
          <w:color w:val="000000"/>
          <w:sz w:val="20"/>
          <w:szCs w:val="20"/>
        </w:rPr>
        <w:t>Each association shall designate on its website a person or entity with a street or e-mail address for receipt of a request for an estoppel certificate issued pursuant to this section.</w:t>
      </w:r>
      <w:r w:rsidR="00374649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”  </w:t>
      </w:r>
    </w:p>
    <w:p w:rsidR="00374649" w:rsidRDefault="00B33F8F">
      <w:r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   </w:t>
      </w:r>
      <w:bookmarkStart w:id="0" w:name="_GoBack"/>
      <w:bookmarkEnd w:id="0"/>
      <w:r w:rsidR="00374649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The entity for estoppel certificate requests is </w:t>
      </w:r>
      <w:proofErr w:type="spellStart"/>
      <w:r w:rsidR="00374649">
        <w:rPr>
          <w:rFonts w:ascii="Trebuchet MS" w:eastAsia="Times New Roman" w:hAnsi="Trebuchet MS" w:cs="Times New Roman"/>
          <w:color w:val="000000"/>
          <w:sz w:val="20"/>
          <w:szCs w:val="20"/>
        </w:rPr>
        <w:t>Peacewind</w:t>
      </w:r>
      <w:proofErr w:type="spellEnd"/>
      <w:r w:rsidR="00374649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Condominium Cottages Association, Incorporated, and the address is:  200 Sandpiper </w:t>
      </w:r>
      <w:proofErr w:type="gramStart"/>
      <w:r w:rsidR="00374649">
        <w:rPr>
          <w:rFonts w:ascii="Trebuchet MS" w:eastAsia="Times New Roman" w:hAnsi="Trebuchet MS" w:cs="Times New Roman"/>
          <w:color w:val="000000"/>
          <w:sz w:val="20"/>
          <w:szCs w:val="20"/>
        </w:rPr>
        <w:t>Drive  Cocoa</w:t>
      </w:r>
      <w:proofErr w:type="gramEnd"/>
      <w:r w:rsidR="00374649">
        <w:rPr>
          <w:rFonts w:ascii="Trebuchet MS" w:eastAsia="Times New Roman" w:hAnsi="Trebuchet MS" w:cs="Times New Roman"/>
          <w:color w:val="000000"/>
          <w:sz w:val="20"/>
          <w:szCs w:val="20"/>
        </w:rPr>
        <w:t xml:space="preserve">  FL 32926</w:t>
      </w:r>
    </w:p>
    <w:sectPr w:rsidR="003746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49"/>
    <w:rsid w:val="00374649"/>
    <w:rsid w:val="00B33F8F"/>
    <w:rsid w:val="00C7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B034A-94BC-48F9-8820-A10C627A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2025-03-11T17:18:00Z</dcterms:created>
  <dcterms:modified xsi:type="dcterms:W3CDTF">2025-03-11T17:21:00Z</dcterms:modified>
</cp:coreProperties>
</file>